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76645947" w:rsidR="00771723" w:rsidRPr="00D649D9" w:rsidRDefault="00753AC7" w:rsidP="00771723">
            <w:pPr>
              <w:rPr>
                <w:rFonts w:ascii="Arial" w:hAnsi="Arial" w:cs="Arial"/>
                <w:b/>
                <w:bCs/>
                <w:sz w:val="16"/>
                <w:szCs w:val="16"/>
              </w:rPr>
            </w:pPr>
            <w:r w:rsidRPr="00753AC7">
              <w:rPr>
                <w:rFonts w:ascii="Arial" w:hAnsi="Arial" w:cs="Arial"/>
                <w:b/>
                <w:bCs/>
                <w:sz w:val="18"/>
                <w:szCs w:val="16"/>
              </w:rPr>
              <w:t>MODELOS DE NEGOCIO EN LA ECONOMÍA CIRCULAR</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64F0522D" w:rsidR="00771723" w:rsidRPr="00D649D9" w:rsidRDefault="004C2C8D" w:rsidP="00771723">
            <w:pPr>
              <w:rPr>
                <w:rFonts w:ascii="Arial" w:hAnsi="Arial" w:cs="Arial"/>
                <w:b/>
                <w:bCs/>
                <w:sz w:val="16"/>
                <w:szCs w:val="16"/>
              </w:rPr>
            </w:pPr>
            <w:r>
              <w:rPr>
                <w:rFonts w:ascii="Arial" w:hAnsi="Arial" w:cs="Arial"/>
                <w:b/>
                <w:bCs/>
                <w:sz w:val="16"/>
                <w:szCs w:val="16"/>
              </w:rPr>
              <w:t>PR-2023-265</w:t>
            </w:r>
            <w:r w:rsidR="006B2DF4">
              <w:rPr>
                <w:rFonts w:ascii="Arial" w:hAnsi="Arial" w:cs="Arial"/>
                <w:b/>
                <w:bCs/>
                <w:sz w:val="16"/>
                <w:szCs w:val="16"/>
              </w:rPr>
              <w:t>/</w:t>
            </w:r>
            <w:r w:rsidR="00753AC7">
              <w:rPr>
                <w:rFonts w:ascii="Arial" w:hAnsi="Arial" w:cs="Arial"/>
                <w:b/>
                <w:bCs/>
                <w:sz w:val="16"/>
                <w:szCs w:val="16"/>
              </w:rPr>
              <w:t>2</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C50BFD"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C50BFD"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C50BFD"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C50BFD"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C50BFD"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C50BFD"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C50BFD"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C50BFD"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C50BFD"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C50BFD"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C50BFD"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C50BFD"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C50BFD"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C50BFD"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C50BFD"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C50BFD"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C50BFD"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C50BFD"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C50BFD"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C50BFD"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C50BFD"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C50BFD"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C50BFD"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C50BFD"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C50BFD"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C50BFD"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C50BFD"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C50BFD"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C50BFD"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C50BFD"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C50BFD"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C50BFD"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C50BFD"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C50BFD"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C50BFD"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C50BFD"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C50BFD"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C50BFD"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C50BFD"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C50BFD"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C50BFD"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C50BFD"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C50BFD"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C50BFD"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C50BFD"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C50BFD"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C50BFD"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C50BFD"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C50BFD"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C50BFD"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C50BFD"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C50BFD"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C50BFD"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C50BFD"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C50BFD"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C50BFD"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C50BFD"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C50BFD"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C50BFD"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C50BFD"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6D68" w14:textId="77777777" w:rsidR="00C50BFD" w:rsidRDefault="00C50B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7E3EA6D0" w:rsidR="00771723" w:rsidRPr="003B3DE1" w:rsidRDefault="00C50BFD" w:rsidP="003B3DE1">
          <w:pPr>
            <w:spacing w:before="120"/>
            <w:jc w:val="center"/>
            <w:rPr>
              <w:rFonts w:ascii="Arial" w:hAnsi="Arial" w:cs="Arial"/>
              <w:b/>
              <w:sz w:val="16"/>
              <w:szCs w:val="16"/>
            </w:rPr>
          </w:pPr>
          <w:r>
            <w:rPr>
              <w:noProof/>
            </w:rPr>
            <w:drawing>
              <wp:anchor distT="0" distB="0" distL="114300" distR="114300" simplePos="0" relativeHeight="251685888" behindDoc="0" locked="0" layoutInCell="1" allowOverlap="1" wp14:anchorId="113028CC" wp14:editId="1253B968">
                <wp:simplePos x="0" y="0"/>
                <wp:positionH relativeFrom="column">
                  <wp:posOffset>836295</wp:posOffset>
                </wp:positionH>
                <wp:positionV relativeFrom="paragraph">
                  <wp:posOffset>106680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1EE55752"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753AC7">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753AC7">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7503" w14:textId="77777777" w:rsidR="00C50BFD" w:rsidRDefault="00C50B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5F5F" w14:textId="77777777" w:rsidR="00C50BFD" w:rsidRDefault="00C50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A05" w14:textId="4AECECA1" w:rsidR="00F33A21" w:rsidRDefault="00C50BFD" w:rsidP="00F33A21">
    <w:pPr>
      <w:tabs>
        <w:tab w:val="right" w:pos="9540"/>
      </w:tabs>
    </w:pPr>
    <w:r>
      <w:rPr>
        <w:noProof/>
      </w:rPr>
      <w:drawing>
        <wp:anchor distT="0" distB="0" distL="114300" distR="114300" simplePos="0" relativeHeight="251673600" behindDoc="0" locked="0" layoutInCell="1" allowOverlap="1" wp14:anchorId="78BADF46" wp14:editId="4593B269">
          <wp:simplePos x="0" y="0"/>
          <wp:positionH relativeFrom="column">
            <wp:posOffset>1472565</wp:posOffset>
          </wp:positionH>
          <wp:positionV relativeFrom="paragraph">
            <wp:posOffset>74295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1890A8A6" wp14:editId="6321FFAB">
          <wp:simplePos x="0" y="0"/>
          <wp:positionH relativeFrom="column">
            <wp:posOffset>-561975</wp:posOffset>
          </wp:positionH>
          <wp:positionV relativeFrom="paragraph">
            <wp:posOffset>80010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51072" behindDoc="0" locked="0" layoutInCell="1" allowOverlap="1" wp14:anchorId="338469FF" wp14:editId="459AEA79">
          <wp:simplePos x="0" y="0"/>
          <wp:positionH relativeFrom="column">
            <wp:posOffset>5509895</wp:posOffset>
          </wp:positionH>
          <wp:positionV relativeFrom="paragraph">
            <wp:posOffset>71755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39808" behindDoc="0" locked="0" layoutInCell="1" allowOverlap="1" wp14:anchorId="191EAE35" wp14:editId="03EC1FBA">
          <wp:simplePos x="0" y="0"/>
          <wp:positionH relativeFrom="column">
            <wp:posOffset>4369435</wp:posOffset>
          </wp:positionH>
          <wp:positionV relativeFrom="paragraph">
            <wp:posOffset>8890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D0AF" w14:textId="77777777" w:rsidR="00C50BFD" w:rsidRDefault="00C50B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64637753">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45633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19292">
    <w:abstractNumId w:val="3"/>
  </w:num>
  <w:num w:numId="4" w16cid:durableId="1565216759">
    <w:abstractNumId w:val="2"/>
  </w:num>
  <w:num w:numId="5" w16cid:durableId="425660934">
    <w:abstractNumId w:val="1"/>
  </w:num>
  <w:num w:numId="6" w16cid:durableId="194579378">
    <w:abstractNumId w:val="0"/>
  </w:num>
  <w:num w:numId="7" w16cid:durableId="1367675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C2C8D"/>
    <w:rsid w:val="004E6B16"/>
    <w:rsid w:val="004F5927"/>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53AC7"/>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2A3F"/>
    <w:rsid w:val="00BA6160"/>
    <w:rsid w:val="00BD0165"/>
    <w:rsid w:val="00BD268B"/>
    <w:rsid w:val="00BD5F0A"/>
    <w:rsid w:val="00BF6949"/>
    <w:rsid w:val="00C04021"/>
    <w:rsid w:val="00C413BC"/>
    <w:rsid w:val="00C50BFD"/>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23CB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0AEA729C"/>
  <w15:docId w15:val="{D565FC88-9A79-4030-98BA-15543F9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5B58-B8E8-4AEC-820F-2CD370BB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3</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8643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14</cp:revision>
  <cp:lastPrinted>2022-06-30T06:59:00Z</cp:lastPrinted>
  <dcterms:created xsi:type="dcterms:W3CDTF">2023-01-03T13:12:00Z</dcterms:created>
  <dcterms:modified xsi:type="dcterms:W3CDTF">2024-01-10T17:07:00Z</dcterms:modified>
</cp:coreProperties>
</file>